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Proxima Nova" w:cs="Proxima Nova" w:eastAsia="Proxima Nova" w:hAnsi="Proxima Nova"/>
          <w:b w:val="1"/>
          <w:color w:val="333333"/>
          <w:u w:val="single"/>
        </w:rPr>
      </w:pPr>
      <w:r w:rsidDel="00000000" w:rsidR="00000000" w:rsidRPr="00000000">
        <w:rPr>
          <w:rtl w:val="0"/>
        </w:rPr>
      </w:r>
    </w:p>
    <w:p w:rsidR="00000000" w:rsidDel="00000000" w:rsidP="00000000" w:rsidRDefault="00000000" w:rsidRPr="00000000" w14:paraId="00000002">
      <w:pPr>
        <w:spacing w:before="200" w:line="240" w:lineRule="auto"/>
        <w:jc w:val="center"/>
        <w:rPr>
          <w:rFonts w:ascii="Montserrat SemiBold" w:cs="Montserrat SemiBold" w:eastAsia="Montserrat SemiBold" w:hAnsi="Montserrat SemiBold"/>
          <w:color w:val="1d6ea5"/>
          <w:sz w:val="48"/>
          <w:szCs w:val="48"/>
        </w:rPr>
      </w:pPr>
      <w:r w:rsidDel="00000000" w:rsidR="00000000" w:rsidRPr="00000000">
        <w:rPr>
          <w:rFonts w:ascii="Montserrat SemiBold" w:cs="Montserrat SemiBold" w:eastAsia="Montserrat SemiBold" w:hAnsi="Montserrat SemiBold"/>
          <w:color w:val="1d6ea5"/>
          <w:sz w:val="48"/>
          <w:szCs w:val="48"/>
          <w:rtl w:val="0"/>
        </w:rPr>
        <w:t xml:space="preserve">Resource Mapping</w:t>
      </w:r>
    </w:p>
    <w:p w:rsidR="00000000" w:rsidDel="00000000" w:rsidP="00000000" w:rsidRDefault="00000000" w:rsidRPr="00000000" w14:paraId="00000003">
      <w:pPr>
        <w:rPr>
          <w:rFonts w:ascii="Proxima Nova" w:cs="Proxima Nova" w:eastAsia="Proxima Nova" w:hAnsi="Proxima Nova"/>
          <w:b w:val="1"/>
          <w:color w:val="444746"/>
          <w:sz w:val="24"/>
          <w:szCs w:val="24"/>
        </w:rPr>
      </w:pPr>
      <w:r w:rsidDel="00000000" w:rsidR="00000000" w:rsidRPr="00000000">
        <w:rPr>
          <w:rtl w:val="0"/>
        </w:rPr>
      </w:r>
    </w:p>
    <w:p w:rsidR="00000000" w:rsidDel="00000000" w:rsidP="00000000" w:rsidRDefault="00000000" w:rsidRPr="00000000" w14:paraId="00000004">
      <w:pPr>
        <w:rPr>
          <w:rFonts w:ascii="Proxima Nova" w:cs="Proxima Nova" w:eastAsia="Proxima Nova" w:hAnsi="Proxima Nova"/>
          <w:b w:val="1"/>
          <w:color w:val="444746"/>
          <w:sz w:val="24"/>
          <w:szCs w:val="24"/>
        </w:rPr>
      </w:pPr>
      <w:r w:rsidDel="00000000" w:rsidR="00000000" w:rsidRPr="00000000">
        <w:rPr>
          <w:rFonts w:ascii="Proxima Nova" w:cs="Proxima Nova" w:eastAsia="Proxima Nova" w:hAnsi="Proxima Nova"/>
          <w:b w:val="1"/>
          <w:color w:val="444746"/>
          <w:sz w:val="24"/>
          <w:szCs w:val="24"/>
          <w:rtl w:val="0"/>
        </w:rPr>
        <w:t xml:space="preserve">Rationale</w:t>
      </w:r>
    </w:p>
    <w:p w:rsidR="00000000" w:rsidDel="00000000" w:rsidP="00000000" w:rsidRDefault="00000000" w:rsidRPr="00000000" w14:paraId="00000005">
      <w:pPr>
        <w:rPr>
          <w:rFonts w:ascii="Proxima Nova" w:cs="Proxima Nova" w:eastAsia="Proxima Nova" w:hAnsi="Proxima Nova"/>
          <w:b w:val="1"/>
          <w:color w:val="444746"/>
          <w:sz w:val="24"/>
          <w:szCs w:val="24"/>
        </w:rPr>
      </w:pPr>
      <w:r w:rsidDel="00000000" w:rsidR="00000000" w:rsidRPr="00000000">
        <w:rPr>
          <w:rtl w:val="0"/>
        </w:rPr>
      </w:r>
    </w:p>
    <w:p w:rsidR="00000000" w:rsidDel="00000000" w:rsidP="00000000" w:rsidRDefault="00000000" w:rsidRPr="00000000" w14:paraId="00000006">
      <w:pPr>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Getting to know the school and community is vital to accomplishing new and different things. Further, it requires a deep understanding of what is currently happening and what has happened in the past. A jump to action might sacrifice clarity and cause harm; interest holders may have already done significant work to create a shared vision or they may be at square one. Instead, take time to learn about and document collective goals; what is working, why, and how to build upon it; who is helping to propel progress; and what is wrong in the system and why. This well of knowledge can be drawn upon throughout each phase of community school implementation.</w:t>
      </w:r>
    </w:p>
    <w:p w:rsidR="00000000" w:rsidDel="00000000" w:rsidP="00000000" w:rsidRDefault="00000000" w:rsidRPr="00000000" w14:paraId="00000007">
      <w:pPr>
        <w:rPr>
          <w:rFonts w:ascii="Proxima Nova" w:cs="Proxima Nova" w:eastAsia="Proxima Nova" w:hAnsi="Proxima Nova"/>
          <w:color w:val="444746"/>
        </w:rPr>
      </w:pP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color w:val="444746"/>
        </w:rPr>
      </w:pPr>
      <w:hyperlink r:id="rId6">
        <w:r w:rsidDel="00000000" w:rsidR="00000000" w:rsidRPr="00000000">
          <w:rPr>
            <w:rFonts w:ascii="Proxima Nova" w:cs="Proxima Nova" w:eastAsia="Proxima Nova" w:hAnsi="Proxima Nova"/>
            <w:color w:val="1155cc"/>
            <w:u w:val="single"/>
            <w:rtl w:val="0"/>
          </w:rPr>
          <w:t xml:space="preserve">Mapping teams</w:t>
        </w:r>
      </w:hyperlink>
      <w:r w:rsidDel="00000000" w:rsidR="00000000" w:rsidRPr="00000000">
        <w:rPr>
          <w:rFonts w:ascii="Proxima Nova" w:cs="Proxima Nova" w:eastAsia="Proxima Nova" w:hAnsi="Proxima Nova"/>
          <w:color w:val="444746"/>
          <w:rtl w:val="0"/>
        </w:rPr>
        <w:t xml:space="preserve"> and taking an </w:t>
      </w:r>
      <w:hyperlink r:id="rId7">
        <w:r w:rsidDel="00000000" w:rsidR="00000000" w:rsidRPr="00000000">
          <w:rPr>
            <w:rFonts w:ascii="Proxima Nova" w:cs="Proxima Nova" w:eastAsia="Proxima Nova" w:hAnsi="Proxima Nova"/>
            <w:color w:val="1155cc"/>
            <w:u w:val="single"/>
            <w:rtl w:val="0"/>
          </w:rPr>
          <w:t xml:space="preserve">inventory of existing whole child supports</w:t>
        </w:r>
      </w:hyperlink>
      <w:r w:rsidDel="00000000" w:rsidR="00000000" w:rsidRPr="00000000">
        <w:rPr>
          <w:rFonts w:ascii="Proxima Nova" w:cs="Proxima Nova" w:eastAsia="Proxima Nova" w:hAnsi="Proxima Nova"/>
          <w:color w:val="444746"/>
          <w:rtl w:val="0"/>
        </w:rPr>
        <w:t xml:space="preserve"> provides insights into the school context. Similarly, community asset mapping sheds light into the context of the broader community. </w:t>
      </w:r>
    </w:p>
    <w:p w:rsidR="00000000" w:rsidDel="00000000" w:rsidP="00000000" w:rsidRDefault="00000000" w:rsidRPr="00000000" w14:paraId="00000009">
      <w:pPr>
        <w:rPr>
          <w:rFonts w:ascii="Proxima Nova" w:cs="Proxima Nova" w:eastAsia="Proxima Nova" w:hAnsi="Proxima Nova"/>
          <w:b w:val="1"/>
          <w:color w:val="444746"/>
          <w:sz w:val="24"/>
          <w:szCs w:val="24"/>
        </w:rPr>
      </w:pPr>
      <w:r w:rsidDel="00000000" w:rsidR="00000000" w:rsidRPr="00000000">
        <w:rPr>
          <w:rtl w:val="0"/>
        </w:rPr>
      </w:r>
    </w:p>
    <w:p w:rsidR="00000000" w:rsidDel="00000000" w:rsidP="00000000" w:rsidRDefault="00000000" w:rsidRPr="00000000" w14:paraId="0000000A">
      <w:pPr>
        <w:rPr>
          <w:rFonts w:ascii="Proxima Nova" w:cs="Proxima Nova" w:eastAsia="Proxima Nova" w:hAnsi="Proxima Nova"/>
          <w:b w:val="1"/>
          <w:color w:val="444746"/>
          <w:sz w:val="24"/>
          <w:szCs w:val="24"/>
        </w:rPr>
      </w:pPr>
      <w:r w:rsidDel="00000000" w:rsidR="00000000" w:rsidRPr="00000000">
        <w:rPr>
          <w:rFonts w:ascii="Proxima Nova" w:cs="Proxima Nova" w:eastAsia="Proxima Nova" w:hAnsi="Proxima Nova"/>
          <w:b w:val="1"/>
          <w:color w:val="444746"/>
          <w:sz w:val="24"/>
          <w:szCs w:val="24"/>
          <w:rtl w:val="0"/>
        </w:rPr>
        <w:t xml:space="preserve">Methods</w:t>
      </w:r>
    </w:p>
    <w:p w:rsidR="00000000" w:rsidDel="00000000" w:rsidP="00000000" w:rsidRDefault="00000000" w:rsidRPr="00000000" w14:paraId="0000000B">
      <w:pPr>
        <w:rPr>
          <w:rFonts w:ascii="Proxima Nova" w:cs="Proxima Nova" w:eastAsia="Proxima Nova" w:hAnsi="Proxima Nova"/>
          <w:b w:val="1"/>
          <w:color w:val="444746"/>
        </w:rPr>
      </w:pPr>
      <w:r w:rsidDel="00000000" w:rsidR="00000000" w:rsidRPr="00000000">
        <w:rPr>
          <w:rtl w:val="0"/>
        </w:rPr>
      </w:r>
    </w:p>
    <w:p w:rsidR="00000000" w:rsidDel="00000000" w:rsidP="00000000" w:rsidRDefault="00000000" w:rsidRPr="00000000" w14:paraId="0000000C">
      <w:pPr>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To develop a process for community mapping, teams should consider the following questions:</w:t>
      </w:r>
    </w:p>
    <w:p w:rsidR="00000000" w:rsidDel="00000000" w:rsidP="00000000" w:rsidRDefault="00000000" w:rsidRPr="00000000" w14:paraId="0000000D">
      <w:pPr>
        <w:ind w:left="720" w:hanging="630"/>
        <w:rPr>
          <w:rFonts w:ascii="Proxima Nova" w:cs="Proxima Nova" w:eastAsia="Proxima Nova" w:hAnsi="Proxima Nova"/>
          <w:color w:val="444746"/>
        </w:rPr>
      </w:pPr>
      <w:r w:rsidDel="00000000" w:rsidR="00000000" w:rsidRPr="00000000">
        <w:rPr>
          <w:rtl w:val="0"/>
        </w:rPr>
      </w:r>
    </w:p>
    <w:p w:rsidR="00000000" w:rsidDel="00000000" w:rsidP="00000000" w:rsidRDefault="00000000" w:rsidRPr="00000000" w14:paraId="0000000E">
      <w:pPr>
        <w:numPr>
          <w:ilvl w:val="0"/>
          <w:numId w:val="2"/>
        </w:numPr>
        <w:ind w:left="720" w:hanging="360"/>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What are you trying to achieve by mapping your community? How will learning more about these assets help address particular challenges at your school? How will this information be shared and with whom? </w:t>
      </w:r>
    </w:p>
    <w:p w:rsidR="00000000" w:rsidDel="00000000" w:rsidP="00000000" w:rsidRDefault="00000000" w:rsidRPr="00000000" w14:paraId="0000000F">
      <w:pPr>
        <w:numPr>
          <w:ilvl w:val="0"/>
          <w:numId w:val="2"/>
        </w:numPr>
        <w:ind w:left="720" w:hanging="360"/>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Who are key players and what are the key groups? Who are community partners? How do they relate to your community school initiative? How will you engage them in the mapping process?</w:t>
      </w:r>
    </w:p>
    <w:p w:rsidR="00000000" w:rsidDel="00000000" w:rsidP="00000000" w:rsidRDefault="00000000" w:rsidRPr="00000000" w14:paraId="00000010">
      <w:pPr>
        <w:numPr>
          <w:ilvl w:val="0"/>
          <w:numId w:val="2"/>
        </w:numPr>
        <w:ind w:left="720" w:hanging="360"/>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Is there a key partner serving as a backbone organization for your community school? Do they hold the same vision for the community? How can you work together to create forward momentum in your community?</w:t>
      </w:r>
    </w:p>
    <w:p w:rsidR="00000000" w:rsidDel="00000000" w:rsidP="00000000" w:rsidRDefault="00000000" w:rsidRPr="00000000" w14:paraId="00000011">
      <w:pPr>
        <w:numPr>
          <w:ilvl w:val="0"/>
          <w:numId w:val="2"/>
        </w:numPr>
        <w:ind w:left="720" w:hanging="360"/>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How do you define your community? How far into the community should you map?</w:t>
      </w:r>
    </w:p>
    <w:p w:rsidR="00000000" w:rsidDel="00000000" w:rsidP="00000000" w:rsidRDefault="00000000" w:rsidRPr="00000000" w14:paraId="00000012">
      <w:pPr>
        <w:ind w:left="720" w:firstLine="0"/>
        <w:rPr>
          <w:rFonts w:ascii="Proxima Nova" w:cs="Proxima Nova" w:eastAsia="Proxima Nova" w:hAnsi="Proxima Nova"/>
          <w:color w:val="444746"/>
        </w:rPr>
      </w:pPr>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The process of community mapping typically involves a combination of methods including those below.</w:t>
      </w:r>
    </w:p>
    <w:p w:rsidR="00000000" w:rsidDel="00000000" w:rsidP="00000000" w:rsidRDefault="00000000" w:rsidRPr="00000000" w14:paraId="00000014">
      <w:pPr>
        <w:rPr>
          <w:rFonts w:ascii="Proxima Nova" w:cs="Proxima Nova" w:eastAsia="Proxima Nova" w:hAnsi="Proxima Nova"/>
          <w:color w:val="444746"/>
        </w:rPr>
      </w:pPr>
      <w:r w:rsidDel="00000000" w:rsidR="00000000" w:rsidRPr="00000000">
        <w:rPr>
          <w:rtl w:val="0"/>
        </w:rPr>
      </w:r>
    </w:p>
    <w:p w:rsidR="00000000" w:rsidDel="00000000" w:rsidP="00000000" w:rsidRDefault="00000000" w:rsidRPr="00000000" w14:paraId="00000015">
      <w:pPr>
        <w:rPr>
          <w:rFonts w:ascii="Proxima Nova" w:cs="Proxima Nova" w:eastAsia="Proxima Nova" w:hAnsi="Proxima Nova"/>
          <w:color w:val="444746"/>
        </w:rPr>
      </w:pPr>
      <w:r w:rsidDel="00000000" w:rsidR="00000000" w:rsidRPr="00000000">
        <w:rPr>
          <w:rFonts w:ascii="Proxima Nova" w:cs="Proxima Nova" w:eastAsia="Proxima Nova" w:hAnsi="Proxima Nova"/>
          <w:b w:val="1"/>
          <w:color w:val="444746"/>
          <w:rtl w:val="0"/>
        </w:rPr>
        <w:t xml:space="preserve">Method 1 - </w:t>
      </w:r>
      <w:r w:rsidDel="00000000" w:rsidR="00000000" w:rsidRPr="00000000">
        <w:rPr>
          <w:rFonts w:ascii="Proxima Nova" w:cs="Proxima Nova" w:eastAsia="Proxima Nova" w:hAnsi="Proxima Nova"/>
          <w:color w:val="444746"/>
          <w:rtl w:val="0"/>
        </w:rPr>
        <w:t xml:space="preserve">Identify different types of assets that can provide support services, such as mentoring, tutoring, volunteers, health care, nonprofits, workforce development, adult education, and more. These are often compiled and shared as service directories.</w:t>
      </w:r>
    </w:p>
    <w:p w:rsidR="00000000" w:rsidDel="00000000" w:rsidP="00000000" w:rsidRDefault="00000000" w:rsidRPr="00000000" w14:paraId="00000016">
      <w:pPr>
        <w:rPr>
          <w:rFonts w:ascii="Proxima Nova" w:cs="Proxima Nova" w:eastAsia="Proxima Nova" w:hAnsi="Proxima Nova"/>
          <w:color w:val="444746"/>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color w:val="444746"/>
        </w:rPr>
      </w:pPr>
      <w:r w:rsidDel="00000000" w:rsidR="00000000" w:rsidRPr="00000000">
        <w:rPr>
          <w:rFonts w:ascii="Proxima Nova" w:cs="Proxima Nova" w:eastAsia="Proxima Nova" w:hAnsi="Proxima Nova"/>
          <w:b w:val="1"/>
          <w:color w:val="444746"/>
          <w:rtl w:val="0"/>
        </w:rPr>
        <w:t xml:space="preserve">Method 2 -</w:t>
      </w:r>
      <w:r w:rsidDel="00000000" w:rsidR="00000000" w:rsidRPr="00000000">
        <w:rPr>
          <w:rFonts w:ascii="Proxima Nova" w:cs="Proxima Nova" w:eastAsia="Proxima Nova" w:hAnsi="Proxima Nova"/>
          <w:color w:val="444746"/>
          <w:rtl w:val="0"/>
        </w:rPr>
        <w:t xml:space="preserve"> Use qualitative methods (interviews, conversations, focus groups, and oral histories/storytelling) to gain understanding of the assets in the community. Through this process, additional community leaders are often identified and recruited to serve on various community school teams.</w:t>
      </w:r>
    </w:p>
    <w:p w:rsidR="00000000" w:rsidDel="00000000" w:rsidP="00000000" w:rsidRDefault="00000000" w:rsidRPr="00000000" w14:paraId="00000018">
      <w:pPr>
        <w:rPr>
          <w:rFonts w:ascii="Proxima Nova" w:cs="Proxima Nova" w:eastAsia="Proxima Nova" w:hAnsi="Proxima Nova"/>
          <w:color w:val="444746"/>
        </w:rPr>
      </w:pPr>
      <w:r w:rsidDel="00000000" w:rsidR="00000000" w:rsidRPr="00000000">
        <w:rPr>
          <w:rtl w:val="0"/>
        </w:rPr>
      </w:r>
    </w:p>
    <w:p w:rsidR="00000000" w:rsidDel="00000000" w:rsidP="00000000" w:rsidRDefault="00000000" w:rsidRPr="00000000" w14:paraId="00000019">
      <w:pPr>
        <w:rPr>
          <w:rFonts w:ascii="Proxima Nova" w:cs="Proxima Nova" w:eastAsia="Proxima Nova" w:hAnsi="Proxima Nova"/>
          <w:color w:val="444746"/>
        </w:rPr>
      </w:pPr>
      <w:r w:rsidDel="00000000" w:rsidR="00000000" w:rsidRPr="00000000">
        <w:rPr>
          <w:rFonts w:ascii="Proxima Nova" w:cs="Proxima Nova" w:eastAsia="Proxima Nova" w:hAnsi="Proxima Nova"/>
          <w:b w:val="1"/>
          <w:color w:val="444746"/>
          <w:rtl w:val="0"/>
        </w:rPr>
        <w:t xml:space="preserve">Method 3 - </w:t>
      </w:r>
      <w:r w:rsidDel="00000000" w:rsidR="00000000" w:rsidRPr="00000000">
        <w:rPr>
          <w:rFonts w:ascii="Proxima Nova" w:cs="Proxima Nova" w:eastAsia="Proxima Nova" w:hAnsi="Proxima Nova"/>
          <w:color w:val="444746"/>
          <w:rtl w:val="0"/>
        </w:rPr>
        <w:t xml:space="preserve">Map formal (e.g. Rotary Club) and informal (e.g. neighborhood meetups) structures as well as current and potential strategy-aligned partners the goal is to understand: 1) what they are working on; 2) who else in the neighborhood is working on this or are they focused on different things;  and 3) who are influential and important residents in the community. This is often compiled on an asset map similar to school team maps.</w:t>
      </w:r>
    </w:p>
    <w:p w:rsidR="00000000" w:rsidDel="00000000" w:rsidP="00000000" w:rsidRDefault="00000000" w:rsidRPr="00000000" w14:paraId="0000001A">
      <w:pPr>
        <w:ind w:left="720" w:firstLine="0"/>
        <w:rPr>
          <w:rFonts w:ascii="Proxima Nova" w:cs="Proxima Nova" w:eastAsia="Proxima Nova" w:hAnsi="Proxima Nova"/>
          <w:color w:val="444746"/>
          <w:sz w:val="24"/>
          <w:szCs w:val="24"/>
        </w:rPr>
      </w:pPr>
      <w:r w:rsidDel="00000000" w:rsidR="00000000" w:rsidRPr="00000000">
        <w:rPr>
          <w:rtl w:val="0"/>
        </w:rPr>
      </w:r>
    </w:p>
    <w:p w:rsidR="00000000" w:rsidDel="00000000" w:rsidP="00000000" w:rsidRDefault="00000000" w:rsidRPr="00000000" w14:paraId="0000001B">
      <w:pPr>
        <w:rPr>
          <w:rFonts w:ascii="Proxima Nova" w:cs="Proxima Nova" w:eastAsia="Proxima Nova" w:hAnsi="Proxima Nova"/>
          <w:b w:val="1"/>
          <w:color w:val="444746"/>
          <w:sz w:val="24"/>
          <w:szCs w:val="24"/>
        </w:rPr>
      </w:pPr>
      <w:r w:rsidDel="00000000" w:rsidR="00000000" w:rsidRPr="00000000">
        <w:rPr>
          <w:rFonts w:ascii="Proxima Nova" w:cs="Proxima Nova" w:eastAsia="Proxima Nova" w:hAnsi="Proxima Nova"/>
          <w:b w:val="1"/>
          <w:color w:val="444746"/>
          <w:sz w:val="24"/>
          <w:szCs w:val="24"/>
          <w:rtl w:val="0"/>
        </w:rPr>
        <w:t xml:space="preserve">Templates, </w:t>
      </w:r>
      <w:r w:rsidDel="00000000" w:rsidR="00000000" w:rsidRPr="00000000">
        <w:rPr>
          <w:rFonts w:ascii="Proxima Nova" w:cs="Proxima Nova" w:eastAsia="Proxima Nova" w:hAnsi="Proxima Nova"/>
          <w:b w:val="1"/>
          <w:color w:val="444746"/>
          <w:sz w:val="24"/>
          <w:szCs w:val="24"/>
          <w:rtl w:val="0"/>
        </w:rPr>
        <w:t xml:space="preserve">Examples</w:t>
      </w:r>
      <w:r w:rsidDel="00000000" w:rsidR="00000000" w:rsidRPr="00000000">
        <w:rPr>
          <w:rFonts w:ascii="Proxima Nova" w:cs="Proxima Nova" w:eastAsia="Proxima Nova" w:hAnsi="Proxima Nova"/>
          <w:b w:val="1"/>
          <w:color w:val="444746"/>
          <w:sz w:val="24"/>
          <w:szCs w:val="24"/>
          <w:rtl w:val="0"/>
        </w:rPr>
        <w:t xml:space="preserve">, and Additional Readings</w:t>
      </w:r>
    </w:p>
    <w:p w:rsidR="00000000" w:rsidDel="00000000" w:rsidP="00000000" w:rsidRDefault="00000000" w:rsidRPr="00000000" w14:paraId="0000001C">
      <w:pPr>
        <w:rPr>
          <w:rFonts w:ascii="Proxima Nova" w:cs="Proxima Nova" w:eastAsia="Proxima Nova" w:hAnsi="Proxima Nova"/>
          <w:b w:val="1"/>
          <w:color w:val="444746"/>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color w:val="444746"/>
          <w:rtl w:val="0"/>
        </w:rPr>
        <w:t xml:space="preserve">Template with Example:</w:t>
      </w:r>
      <w:r w:rsidDel="00000000" w:rsidR="00000000" w:rsidRPr="00000000">
        <w:rPr>
          <w:rFonts w:ascii="Proxima Nova" w:cs="Proxima Nova" w:eastAsia="Proxima Nova" w:hAnsi="Proxima Nova"/>
          <w:b w:val="1"/>
          <w:color w:val="444746"/>
          <w:rtl w:val="0"/>
        </w:rPr>
        <w:t xml:space="preserve"> </w:t>
      </w:r>
      <w:hyperlink r:id="rId8">
        <w:r w:rsidDel="00000000" w:rsidR="00000000" w:rsidRPr="00000000">
          <w:rPr>
            <w:rFonts w:ascii="Proxima Nova" w:cs="Proxima Nova" w:eastAsia="Proxima Nova" w:hAnsi="Proxima Nova"/>
            <w:color w:val="1155cc"/>
            <w:u w:val="single"/>
            <w:rtl w:val="0"/>
          </w:rPr>
          <w:t xml:space="preserve">School/Community Mapping Template</w:t>
        </w:r>
      </w:hyperlink>
      <w:r w:rsidDel="00000000" w:rsidR="00000000" w:rsidRPr="00000000">
        <w:rPr>
          <w:rtl w:val="0"/>
        </w:rPr>
      </w:r>
    </w:p>
    <w:p w:rsidR="00000000" w:rsidDel="00000000" w:rsidP="00000000" w:rsidRDefault="00000000" w:rsidRPr="00000000" w14:paraId="0000001E">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color w:val="444746"/>
          <w:rtl w:val="0"/>
        </w:rPr>
        <w:t xml:space="preserve">Examples from Austin Voices: </w:t>
      </w:r>
      <w:hyperlink r:id="rId9">
        <w:r w:rsidDel="00000000" w:rsidR="00000000" w:rsidRPr="00000000">
          <w:rPr>
            <w:rFonts w:ascii="Proxima Nova" w:cs="Proxima Nova" w:eastAsia="Proxima Nova" w:hAnsi="Proxima Nova"/>
            <w:color w:val="1155cc"/>
            <w:u w:val="single"/>
            <w:rtl w:val="0"/>
          </w:rPr>
          <w:t xml:space="preserve">Business and Resource Guide</w:t>
        </w:r>
      </w:hyperlink>
      <w:r w:rsidDel="00000000" w:rsidR="00000000" w:rsidRPr="00000000">
        <w:rPr>
          <w:rFonts w:ascii="Proxima Nova" w:cs="Proxima Nova" w:eastAsia="Proxima Nova" w:hAnsi="Proxima Nova"/>
          <w:color w:val="444746"/>
          <w:rtl w:val="0"/>
        </w:rPr>
        <w:t xml:space="preserve"> and </w:t>
      </w:r>
      <w:hyperlink r:id="rId10">
        <w:r w:rsidDel="00000000" w:rsidR="00000000" w:rsidRPr="00000000">
          <w:rPr>
            <w:rFonts w:ascii="Proxima Nova" w:cs="Proxima Nova" w:eastAsia="Proxima Nova" w:hAnsi="Proxima Nova"/>
            <w:color w:val="1155cc"/>
            <w:u w:val="single"/>
            <w:rtl w:val="0"/>
          </w:rPr>
          <w:t xml:space="preserve">Resource Map</w:t>
        </w:r>
      </w:hyperlink>
      <w:r w:rsidDel="00000000" w:rsidR="00000000" w:rsidRPr="00000000">
        <w:rPr>
          <w:rFonts w:ascii="Proxima Nova" w:cs="Proxima Nova" w:eastAsia="Proxima Nova" w:hAnsi="Proxima Nova"/>
          <w:color w:val="444746"/>
          <w:rtl w:val="0"/>
        </w:rPr>
        <w:t xml:space="preserve"> </w:t>
      </w:r>
    </w:p>
    <w:p w:rsidR="00000000" w:rsidDel="00000000" w:rsidP="00000000" w:rsidRDefault="00000000" w:rsidRPr="00000000" w14:paraId="0000001F">
      <w:pPr>
        <w:numPr>
          <w:ilvl w:val="0"/>
          <w:numId w:val="1"/>
        </w:numPr>
        <w:ind w:left="720" w:hanging="360"/>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Examples from Potter Elementary:</w:t>
      </w:r>
      <w:hyperlink r:id="rId11">
        <w:r w:rsidDel="00000000" w:rsidR="00000000" w:rsidRPr="00000000">
          <w:rPr>
            <w:rFonts w:ascii="Proxima Nova" w:cs="Proxima Nova" w:eastAsia="Proxima Nova" w:hAnsi="Proxima Nova"/>
            <w:color w:val="1155cc"/>
            <w:u w:val="single"/>
            <w:rtl w:val="0"/>
          </w:rPr>
          <w:t xml:space="preserve"> Resource Directory</w:t>
        </w:r>
      </w:hyperlink>
      <w:r w:rsidDel="00000000" w:rsidR="00000000" w:rsidRPr="00000000">
        <w:rPr>
          <w:rFonts w:ascii="Proxima Nova" w:cs="Proxima Nova" w:eastAsia="Proxima Nova" w:hAnsi="Proxima Nova"/>
          <w:color w:val="444746"/>
          <w:rtl w:val="0"/>
        </w:rPr>
        <w:t xml:space="preserve">  and  </w:t>
      </w:r>
      <w:hyperlink r:id="rId12">
        <w:r w:rsidDel="00000000" w:rsidR="00000000" w:rsidRPr="00000000">
          <w:rPr>
            <w:rFonts w:ascii="Proxima Nova" w:cs="Proxima Nova" w:eastAsia="Proxima Nova" w:hAnsi="Proxima Nova"/>
            <w:color w:val="1155cc"/>
            <w:u w:val="single"/>
            <w:rtl w:val="0"/>
          </w:rPr>
          <w:t xml:space="preserve">Distribution Plan</w:t>
        </w:r>
      </w:hyperlink>
      <w:r w:rsidDel="00000000" w:rsidR="00000000" w:rsidRPr="00000000">
        <w:rPr>
          <w:rtl w:val="0"/>
        </w:rPr>
      </w:r>
    </w:p>
    <w:p w:rsidR="00000000" w:rsidDel="00000000" w:rsidP="00000000" w:rsidRDefault="00000000" w:rsidRPr="00000000" w14:paraId="00000020">
      <w:pPr>
        <w:numPr>
          <w:ilvl w:val="0"/>
          <w:numId w:val="1"/>
        </w:numPr>
        <w:ind w:left="720" w:hanging="360"/>
        <w:rPr>
          <w:rFonts w:ascii="Proxima Nova" w:cs="Proxima Nova" w:eastAsia="Proxima Nova" w:hAnsi="Proxima Nova"/>
          <w:color w:val="444746"/>
        </w:rPr>
      </w:pPr>
      <w:r w:rsidDel="00000000" w:rsidR="00000000" w:rsidRPr="00000000">
        <w:rPr>
          <w:rFonts w:ascii="Proxima Nova" w:cs="Proxima Nova" w:eastAsia="Proxima Nova" w:hAnsi="Proxima Nova"/>
          <w:color w:val="444746"/>
          <w:rtl w:val="0"/>
        </w:rPr>
        <w:t xml:space="preserve">Example from San Fernando Middle School: </w:t>
      </w:r>
      <w:hyperlink r:id="rId13">
        <w:r w:rsidDel="00000000" w:rsidR="00000000" w:rsidRPr="00000000">
          <w:rPr>
            <w:rFonts w:ascii="Proxima Nova" w:cs="Proxima Nova" w:eastAsia="Proxima Nova" w:hAnsi="Proxima Nova"/>
            <w:color w:val="1155cc"/>
            <w:u w:val="single"/>
            <w:rtl w:val="0"/>
          </w:rPr>
          <w:t xml:space="preserve">Resource Guide</w:t>
        </w:r>
      </w:hyperlink>
      <w:r w:rsidDel="00000000" w:rsidR="00000000" w:rsidRPr="00000000">
        <w:rPr>
          <w:rtl w:val="0"/>
        </w:rPr>
      </w:r>
    </w:p>
    <w:p w:rsidR="00000000" w:rsidDel="00000000" w:rsidP="00000000" w:rsidRDefault="00000000" w:rsidRPr="00000000" w14:paraId="00000021">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color w:val="444746"/>
          <w:rtl w:val="0"/>
        </w:rPr>
        <w:t xml:space="preserve">Essay: </w:t>
      </w:r>
      <w:hyperlink r:id="rId14">
        <w:r w:rsidDel="00000000" w:rsidR="00000000" w:rsidRPr="00000000">
          <w:rPr>
            <w:rFonts w:ascii="Proxima Nova" w:cs="Proxima Nova" w:eastAsia="Proxima Nova" w:hAnsi="Proxima Nova"/>
            <w:color w:val="1155cc"/>
            <w:u w:val="single"/>
            <w:rtl w:val="0"/>
          </w:rPr>
          <w:t xml:space="preserve">Asset Based Community Development</w:t>
        </w:r>
      </w:hyperlink>
      <w:r w:rsidDel="00000000" w:rsidR="00000000" w:rsidRPr="00000000">
        <w:rPr>
          <w:rtl w:val="0"/>
        </w:rPr>
      </w:r>
    </w:p>
    <w:p w:rsidR="00000000" w:rsidDel="00000000" w:rsidP="00000000" w:rsidRDefault="00000000" w:rsidRPr="00000000" w14:paraId="00000022">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Tool: </w:t>
      </w:r>
      <w:hyperlink r:id="rId15">
        <w:r w:rsidDel="00000000" w:rsidR="00000000" w:rsidRPr="00000000">
          <w:rPr>
            <w:rFonts w:ascii="Proxima Nova" w:cs="Proxima Nova" w:eastAsia="Proxima Nova" w:hAnsi="Proxima Nova"/>
            <w:color w:val="1155cc"/>
            <w:u w:val="single"/>
            <w:rtl w:val="0"/>
          </w:rPr>
          <w:t xml:space="preserve">MTSS Resource Mapping Tool</w:t>
        </w:r>
      </w:hyperlink>
      <w:r w:rsidDel="00000000" w:rsidR="00000000" w:rsidRPr="00000000">
        <w:rPr>
          <w:rtl w:val="0"/>
        </w:rPr>
      </w:r>
    </w:p>
    <w:p w:rsidR="00000000" w:rsidDel="00000000" w:rsidP="00000000" w:rsidRDefault="00000000" w:rsidRPr="00000000" w14:paraId="0000002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-57149</wp:posOffset>
          </wp:positionV>
          <wp:extent cx="2233613" cy="507639"/>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33613" cy="5076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line="240" w:lineRule="auto"/>
      <w:jc w:val="left"/>
      <w:rPr/>
    </w:pPr>
    <w:r w:rsidDel="00000000" w:rsidR="00000000" w:rsidRPr="00000000">
      <w:rPr/>
      <w:drawing>
        <wp:anchor allowOverlap="1" behindDoc="0" distB="114300" distT="114300" distL="114300" distR="114300" hidden="0" layoutInCell="1" locked="0" relativeHeight="0" simplePos="0">
          <wp:simplePos x="0" y="0"/>
          <wp:positionH relativeFrom="page">
            <wp:posOffset>-57149</wp:posOffset>
          </wp:positionH>
          <wp:positionV relativeFrom="page">
            <wp:posOffset>-28574</wp:posOffset>
          </wp:positionV>
          <wp:extent cx="7886700" cy="503237"/>
          <wp:effectExtent b="0" l="0" r="0" t="0"/>
          <wp:wrapNone/>
          <wp:docPr id="3" name="image1.png"/>
          <a:graphic>
            <a:graphicData uri="http://schemas.openxmlformats.org/drawingml/2006/picture">
              <pic:pic>
                <pic:nvPicPr>
                  <pic:cNvPr id="0" name="image1.png"/>
                  <pic:cNvPicPr preferRelativeResize="0"/>
                </pic:nvPicPr>
                <pic:blipFill>
                  <a:blip r:embed="rId1"/>
                  <a:srcRect b="24989" l="9524" r="7508" t="24709"/>
                  <a:stretch>
                    <a:fillRect/>
                  </a:stretch>
                </pic:blipFill>
                <pic:spPr>
                  <a:xfrm>
                    <a:off x="0" y="0"/>
                    <a:ext cx="7886700" cy="503237"/>
                  </a:xfrm>
                  <a:prstGeom prst="rect"/>
                  <a:ln/>
                </pic:spPr>
              </pic:pic>
            </a:graphicData>
          </a:graphic>
        </wp:anchor>
      </w:drawing>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847725</wp:posOffset>
              </wp:positionH>
              <wp:positionV relativeFrom="page">
                <wp:posOffset>28575</wp:posOffset>
              </wp:positionV>
              <wp:extent cx="5724525" cy="447675"/>
              <wp:effectExtent b="0" l="0" r="0" t="0"/>
              <wp:wrapNone/>
              <wp:docPr id="1" name=""/>
              <a:graphic>
                <a:graphicData uri="http://schemas.microsoft.com/office/word/2010/wordprocessingShape">
                  <wps:wsp>
                    <wps:cNvSpPr txBox="1"/>
                    <wps:cNvPr id="2" name="Shape 2"/>
                    <wps:spPr>
                      <a:xfrm>
                        <a:off x="2070525" y="1684150"/>
                        <a:ext cx="5706300" cy="43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Light" w:cs="Montserrat Light" w:eastAsia="Montserrat Light" w:hAnsi="Montserrat Light"/>
                              <w:b w:val="0"/>
                              <w:i w:val="0"/>
                              <w:smallCaps w:val="0"/>
                              <w:strike w:val="0"/>
                              <w:color w:val="ffffff"/>
                              <w:sz w:val="32"/>
                              <w:vertAlign w:val="baseline"/>
                            </w:rPr>
                            <w:t xml:space="preserve">Resource Mapping Mini-Guide</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847725</wp:posOffset>
              </wp:positionH>
              <wp:positionV relativeFrom="page">
                <wp:posOffset>28575</wp:posOffset>
              </wp:positionV>
              <wp:extent cx="5724525" cy="44767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24525" cy="4476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Rzlqr5XuDpk49f5iWlxSseAg5C10ak7p/view?usp=sharing" TargetMode="External"/><Relationship Id="rId10" Type="http://schemas.openxmlformats.org/officeDocument/2006/relationships/hyperlink" Target="https://www.austinvoices.org/wp-content/uploads/2016/02/eastside-memorial-vertical-team-community-schools-resource-business-maps-austin-voices.pdf" TargetMode="External"/><Relationship Id="rId13" Type="http://schemas.openxmlformats.org/officeDocument/2006/relationships/hyperlink" Target="https://drive.google.com/file/d/1rq5RRGB_cbtS_e33hI0LbeFPM7rPkjY9/view?usp=sharing" TargetMode="External"/><Relationship Id="rId12" Type="http://schemas.openxmlformats.org/officeDocument/2006/relationships/hyperlink" Target="https://docs.google.com/document/d/1dFcTe9Cr0bT_37croDGyMwE0wwZ1fEXbJdLeG7MGnzw/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ustinvoices.org/wp-content/uploads/2016/02/eastside-memorial-vertical-team-community-schools-resource-business-guide-austin-voices.pdf" TargetMode="External"/><Relationship Id="rId15" Type="http://schemas.openxmlformats.org/officeDocument/2006/relationships/hyperlink" Target="https://docs.google.com/document/d/1zA93by68ZdkNBQ6fY5oRX3vMCdjmEuaxfKdlOmG0kYg/edit?usp=sharing" TargetMode="External"/><Relationship Id="rId14" Type="http://schemas.openxmlformats.org/officeDocument/2006/relationships/hyperlink" Target="https://www.neighborhoodtransformation.net/pdfs/What_%20is_Asset_Based_Community_Development.pdf"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0w-EqpfVAUpbBPubFd9Sp2USRBb_fg3JEt-pxdBQS_A/edit?usp=sharing" TargetMode="External"/><Relationship Id="rId7" Type="http://schemas.openxmlformats.org/officeDocument/2006/relationships/hyperlink" Target="https://docs.google.com/document/d/1r8fyBGLI4ZuD476GgavFYqOuE4jwB2NW/edit?usp=sharing&amp;ouid=107921508735563201087&amp;rtpof=true&amp;sd=true" TargetMode="External"/><Relationship Id="rId8" Type="http://schemas.openxmlformats.org/officeDocument/2006/relationships/hyperlink" Target="https://docs.google.com/spreadsheets/d/1YD5WKI0dq5pstzayPcClhATa80mGMNV69gGJi8Z2Zf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ProximaNova-regular.ttf"/><Relationship Id="rId6" Type="http://schemas.openxmlformats.org/officeDocument/2006/relationships/font" Target="fonts/ProximaNova-bold.ttf"/><Relationship Id="rId7" Type="http://schemas.openxmlformats.org/officeDocument/2006/relationships/font" Target="fonts/ProximaNova-italic.ttf"/><Relationship Id="rId8"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