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Proxima Nova" w:cs="Proxima Nova" w:eastAsia="Proxima Nova" w:hAnsi="Proxima Nova"/>
          <w:b w:val="1"/>
          <w:color w:val="333333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333333"/>
          <w:u w:val="single"/>
        </w:rPr>
        <w:drawing>
          <wp:inline distB="19050" distT="19050" distL="19050" distR="19050">
            <wp:extent cx="3976395" cy="112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76395" cy="112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Proxima Nova" w:cs="Proxima Nova" w:eastAsia="Proxima Nova" w:hAnsi="Proxima Nova"/>
          <w:b w:val="1"/>
          <w:color w:val="3333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Needs and Assets Assessment Kick Off Meeting</w:t>
      </w:r>
    </w:p>
    <w:p w:rsidR="00000000" w:rsidDel="00000000" w:rsidP="00000000" w:rsidRDefault="00000000" w:rsidRPr="00000000" w14:paraId="00000004">
      <w:pPr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Planning Checklist</w:t>
      </w:r>
    </w:p>
    <w:p w:rsidR="00000000" w:rsidDel="00000000" w:rsidP="00000000" w:rsidRDefault="00000000" w:rsidRPr="00000000" w14:paraId="00000005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To begin the planning process for the needs and assets assessment, it is important to have a kick off meeting with a representative group of interest holders. This group will help set specific goals for how you plan to engage 75 to 100% of students, staff, families, and community members in the needs and assets assessment. Use this checklist to ensure the meeting is productive and that there is equitable engagement of members in the planning process.</w:t>
      </w:r>
    </w:p>
    <w:p w:rsidR="00000000" w:rsidDel="00000000" w:rsidP="00000000" w:rsidRDefault="00000000" w:rsidRPr="00000000" w14:paraId="00000007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8265"/>
        <w:tblGridChange w:id="0">
          <w:tblGrid>
            <w:gridCol w:w="1095"/>
            <w:gridCol w:w="8265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roxima Nova" w:cs="Proxima Nova" w:eastAsia="Proxima Nova" w:hAnsi="Proxima Nov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✔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4"/>
                <w:szCs w:val="24"/>
                <w:rtl w:val="0"/>
              </w:rPr>
              <w:t xml:space="preserve">For our Kick Off Meeting, we have a plan for: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Sufficient Time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Schedule a meeting several hours in length. A half or whole-day is preferable with a Saturday or non-school day being most conducive.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Valued Participants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Ensure participants are valued for their time. Consider getting a meal donated from a local restaurant, use Title I funds to compensate staff for extra hours, etc.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Collaboration Space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Set up your meeting room in a way that is conducive to group brainstorming. A circle or u-shape is best as it allows all members to see and engage with each other.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Community Agreements and Meeting Norms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Consider co-creating community agreements and meeting norms at the beginning of the session. Include multiple ways in which team members can reflect, learn, and share their ideas and thoughts.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Note Taking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Ensure that there is a system for taking notes at this meeting. Consider projecting notes (live noting), and consider having someone assigned to note taking.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Community Building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Create a meeting agenda that includes ample time for introductions and community building amongst team members.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Background Information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Assemble packets of background materials for the group, including a Needs and Assets Assessment Plan template, sample, and existing data.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